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91012" w14:paraId="1265B9A2" w14:textId="77777777">
        <w:tblPrEx>
          <w:tblCellMar>
            <w:top w:w="0" w:type="dxa"/>
            <w:bottom w:w="0" w:type="dxa"/>
          </w:tblCellMar>
        </w:tblPrEx>
        <w:tc>
          <w:tcPr>
            <w:tcW w:w="9026" w:type="dxa"/>
            <w:tcBorders>
              <w:top w:val="single" w:sz="8" w:space="0" w:color="2C5F8D"/>
              <w:left w:val="single" w:sz="8" w:space="0" w:color="2C5F8D"/>
              <w:bottom w:val="single" w:sz="8" w:space="0" w:color="2C5F8D"/>
              <w:right w:val="single" w:sz="8" w:space="0" w:color="2C5F8D"/>
            </w:tcBorders>
            <w:shd w:val="clear" w:color="auto" w:fill="E7F3F8"/>
            <w:tcMar>
              <w:top w:w="400" w:type="dxa"/>
              <w:left w:w="300" w:type="dxa"/>
              <w:bottom w:w="400" w:type="dxa"/>
              <w:right w:w="300" w:type="dxa"/>
            </w:tcMar>
          </w:tcPr>
          <w:p w14:paraId="316B7056" w14:textId="77777777" w:rsidR="00E91012" w:rsidRDefault="00000000">
            <w:pPr>
              <w:spacing w:after="150"/>
              <w:jc w:val="center"/>
            </w:pPr>
            <w:r>
              <w:rPr>
                <w:b/>
                <w:bCs/>
                <w:color w:val="2C5F8D"/>
                <w:sz w:val="36"/>
                <w:szCs w:val="36"/>
              </w:rPr>
              <w:t>ALGEMENE VOORWAARDEN</w:t>
            </w:r>
          </w:p>
          <w:p w14:paraId="01C16BBD" w14:textId="00FEBF67" w:rsidR="00E91012" w:rsidRDefault="00000000">
            <w:pPr>
              <w:jc w:val="center"/>
            </w:pPr>
            <w:r>
              <w:rPr>
                <w:sz w:val="26"/>
                <w:szCs w:val="26"/>
              </w:rPr>
              <w:t>Praktijk voor Natuurgeneeswijze</w:t>
            </w:r>
            <w:r w:rsidR="006D2FB6">
              <w:rPr>
                <w:sz w:val="26"/>
                <w:szCs w:val="26"/>
              </w:rPr>
              <w:t>n</w:t>
            </w:r>
          </w:p>
          <w:p w14:paraId="744EE9A1" w14:textId="77777777" w:rsidR="00E91012" w:rsidRDefault="00000000">
            <w:pPr>
              <w:jc w:val="center"/>
            </w:pPr>
            <w:r>
              <w:rPr>
                <w:b/>
                <w:bCs/>
                <w:sz w:val="26"/>
                <w:szCs w:val="26"/>
              </w:rPr>
              <w:t xml:space="preserve">Wim </w:t>
            </w:r>
            <w:proofErr w:type="spellStart"/>
            <w:r>
              <w:rPr>
                <w:b/>
                <w:bCs/>
                <w:sz w:val="26"/>
                <w:szCs w:val="26"/>
              </w:rPr>
              <w:t>Kwakman</w:t>
            </w:r>
            <w:proofErr w:type="spellEnd"/>
          </w:p>
        </w:tc>
      </w:tr>
    </w:tbl>
    <w:p w14:paraId="638F34B8" w14:textId="77777777" w:rsidR="00E91012" w:rsidRDefault="00E9101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E91012" w14:paraId="04A556D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50" w:type="dxa"/>
              <w:bottom w:w="100" w:type="dxa"/>
              <w:right w:w="150" w:type="dxa"/>
            </w:tcMar>
          </w:tcPr>
          <w:p w14:paraId="07E671E1" w14:textId="77777777" w:rsidR="00E91012" w:rsidRDefault="00000000">
            <w:r>
              <w:rPr>
                <w:b/>
                <w:bCs/>
                <w:sz w:val="20"/>
                <w:szCs w:val="20"/>
              </w:rPr>
              <w:t>KvK-nummer:</w:t>
            </w:r>
          </w:p>
        </w:tc>
        <w:tc>
          <w:tcPr>
            <w:tcW w:w="6026"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EAB81F5" w14:textId="77777777" w:rsidR="00E91012" w:rsidRDefault="00000000">
            <w:r>
              <w:rPr>
                <w:sz w:val="20"/>
                <w:szCs w:val="20"/>
              </w:rPr>
              <w:t>37152689</w:t>
            </w:r>
          </w:p>
        </w:tc>
      </w:tr>
      <w:tr w:rsidR="00E91012" w14:paraId="5FBCF29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50" w:type="dxa"/>
              <w:bottom w:w="100" w:type="dxa"/>
              <w:right w:w="150" w:type="dxa"/>
            </w:tcMar>
          </w:tcPr>
          <w:p w14:paraId="560150D8" w14:textId="77777777" w:rsidR="00E91012" w:rsidRDefault="00000000">
            <w:r>
              <w:rPr>
                <w:b/>
                <w:bCs/>
                <w:sz w:val="20"/>
                <w:szCs w:val="20"/>
              </w:rPr>
              <w:t>BTW-nummer:</w:t>
            </w:r>
          </w:p>
        </w:tc>
        <w:tc>
          <w:tcPr>
            <w:tcW w:w="6026"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B87470A" w14:textId="77777777" w:rsidR="00E91012" w:rsidRDefault="00000000">
            <w:r>
              <w:rPr>
                <w:sz w:val="20"/>
                <w:szCs w:val="20"/>
              </w:rPr>
              <w:t>NL001219908B40</w:t>
            </w:r>
          </w:p>
        </w:tc>
      </w:tr>
      <w:tr w:rsidR="00E91012" w14:paraId="208FD30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50" w:type="dxa"/>
              <w:bottom w:w="100" w:type="dxa"/>
              <w:right w:w="150" w:type="dxa"/>
            </w:tcMar>
          </w:tcPr>
          <w:p w14:paraId="6EB29DC2" w14:textId="77777777" w:rsidR="00E91012" w:rsidRDefault="00000000">
            <w:r>
              <w:rPr>
                <w:b/>
                <w:bCs/>
                <w:sz w:val="20"/>
                <w:szCs w:val="20"/>
              </w:rPr>
              <w:t>Beroepsvereniging:</w:t>
            </w:r>
          </w:p>
        </w:tc>
        <w:tc>
          <w:tcPr>
            <w:tcW w:w="6026"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55B09B2" w14:textId="77777777" w:rsidR="00E91012" w:rsidRDefault="00000000">
            <w:r>
              <w:rPr>
                <w:sz w:val="20"/>
                <w:szCs w:val="20"/>
              </w:rPr>
              <w:t>VBAG &amp; VVET</w:t>
            </w:r>
          </w:p>
        </w:tc>
      </w:tr>
    </w:tbl>
    <w:p w14:paraId="489E589A" w14:textId="77777777" w:rsidR="00E91012" w:rsidRDefault="00E91012"/>
    <w:p w14:paraId="7DB9EF39" w14:textId="77777777" w:rsidR="00E91012" w:rsidRDefault="00E91012"/>
    <w:p w14:paraId="611B5165" w14:textId="77777777" w:rsidR="00E91012" w:rsidRDefault="00000000">
      <w:pPr>
        <w:spacing w:before="240" w:after="120"/>
      </w:pPr>
      <w:r>
        <w:rPr>
          <w:b/>
          <w:bCs/>
          <w:color w:val="2C5F8D"/>
          <w:sz w:val="26"/>
          <w:szCs w:val="26"/>
        </w:rPr>
        <w:t>Artikel 1 – Toepasselijkheid</w:t>
      </w:r>
    </w:p>
    <w:p w14:paraId="700E7AE9" w14:textId="77777777" w:rsidR="00E91012" w:rsidRDefault="00000000">
      <w:pPr>
        <w:spacing w:after="200"/>
      </w:pPr>
      <w:r>
        <w:t>Deze algemene voorwaarden zijn van toepassing op alle behandelovereenkomsten tussen de praktijk en de cliënt. Door het maken van een afspraak verklaart de cliënt zich akkoord met deze voorwaarden.</w:t>
      </w:r>
    </w:p>
    <w:p w14:paraId="768E3A12" w14:textId="77777777" w:rsidR="00E91012" w:rsidRDefault="00000000">
      <w:pPr>
        <w:spacing w:before="240" w:after="120"/>
      </w:pPr>
      <w:r>
        <w:rPr>
          <w:b/>
          <w:bCs/>
          <w:color w:val="2C5F8D"/>
          <w:sz w:val="26"/>
          <w:szCs w:val="26"/>
        </w:rPr>
        <w:t>Artikel 2 – Behandelingen</w:t>
      </w:r>
    </w:p>
    <w:p w14:paraId="4956C74A" w14:textId="77777777" w:rsidR="00E91012" w:rsidRDefault="00000000">
      <w:pPr>
        <w:spacing w:after="80"/>
      </w:pPr>
      <w:r>
        <w:t>2.1 De praktijk biedt de volgende behandelingen aan:</w:t>
      </w:r>
    </w:p>
    <w:p w14:paraId="21283A60" w14:textId="77777777" w:rsidR="00E91012" w:rsidRDefault="00000000">
      <w:pPr>
        <w:spacing w:after="60"/>
      </w:pPr>
      <w:r>
        <w:t xml:space="preserve">• </w:t>
      </w:r>
      <w:proofErr w:type="spellStart"/>
      <w:r>
        <w:t>Cranio</w:t>
      </w:r>
      <w:proofErr w:type="spellEnd"/>
      <w:r>
        <w:t xml:space="preserve"> Sacraal Therapie</w:t>
      </w:r>
    </w:p>
    <w:p w14:paraId="1F543C36" w14:textId="77777777" w:rsidR="00E91012" w:rsidRDefault="00000000">
      <w:pPr>
        <w:spacing w:after="60"/>
      </w:pPr>
      <w:r>
        <w:t>• Magnetiseren</w:t>
      </w:r>
    </w:p>
    <w:p w14:paraId="7D969418" w14:textId="77777777" w:rsidR="00E91012" w:rsidRDefault="00000000">
      <w:pPr>
        <w:spacing w:after="60"/>
      </w:pPr>
      <w:r>
        <w:t>• Viscerale Manipulatie</w:t>
      </w:r>
    </w:p>
    <w:p w14:paraId="14BC4A91" w14:textId="77777777" w:rsidR="00E91012" w:rsidRDefault="00000000">
      <w:pPr>
        <w:spacing w:after="60"/>
      </w:pPr>
      <w:r>
        <w:t>• Hypnose</w:t>
      </w:r>
    </w:p>
    <w:p w14:paraId="16855B18" w14:textId="77777777" w:rsidR="00E91012" w:rsidRDefault="00000000">
      <w:pPr>
        <w:spacing w:after="60"/>
      </w:pPr>
      <w:r>
        <w:t>• Masseren</w:t>
      </w:r>
    </w:p>
    <w:p w14:paraId="150466F6" w14:textId="77777777" w:rsidR="00E91012" w:rsidRDefault="00000000">
      <w:pPr>
        <w:spacing w:after="60"/>
      </w:pPr>
      <w:r>
        <w:t>• NEI (Neuro-Emotionele Integratie)</w:t>
      </w:r>
    </w:p>
    <w:p w14:paraId="64EEAA88" w14:textId="77777777" w:rsidR="00E91012" w:rsidRDefault="00000000">
      <w:pPr>
        <w:spacing w:after="60"/>
      </w:pPr>
      <w:r>
        <w:t>• Behandelingen voor kinderen (ook baby's)</w:t>
      </w:r>
    </w:p>
    <w:p w14:paraId="331101F8" w14:textId="77777777" w:rsidR="00E91012" w:rsidRDefault="00000000">
      <w:pPr>
        <w:spacing w:after="100"/>
      </w:pPr>
      <w:r>
        <w:t>2.2 De praktijk heeft een inspanningsverplichting en geen resultaatverplichting. Dit houdt in dat de behandelaar zich zal inspannen om een zo goed mogelijk resultaat te bereiken, maar geen garanties kan geven over het eindresultaat.</w:t>
      </w:r>
    </w:p>
    <w:p w14:paraId="2E85436A" w14:textId="77777777" w:rsidR="00E91012" w:rsidRDefault="00000000">
      <w:pPr>
        <w:spacing w:after="200"/>
      </w:pPr>
      <w:r>
        <w:t xml:space="preserve">2.3 Behandelingen worden uitgevoerd </w:t>
      </w:r>
      <w:proofErr w:type="gramStart"/>
      <w:r>
        <w:t>conform</w:t>
      </w:r>
      <w:proofErr w:type="gramEnd"/>
      <w:r>
        <w:t xml:space="preserve"> de richtlijnen van de VBAG en VVET en de geldende wet- en regelgeving (WGBO, </w:t>
      </w:r>
      <w:proofErr w:type="spellStart"/>
      <w:r>
        <w:t>Wkkgz</w:t>
      </w:r>
      <w:proofErr w:type="spellEnd"/>
      <w:r>
        <w:t>, AVG).</w:t>
      </w:r>
    </w:p>
    <w:p w14:paraId="4977F573" w14:textId="77777777" w:rsidR="00E91012" w:rsidRDefault="00000000">
      <w:pPr>
        <w:spacing w:before="240" w:after="120"/>
      </w:pPr>
      <w:r>
        <w:rPr>
          <w:b/>
          <w:bCs/>
          <w:color w:val="2C5F8D"/>
          <w:sz w:val="26"/>
          <w:szCs w:val="26"/>
        </w:rPr>
        <w:t>Artikel 3 – Afspraken</w:t>
      </w:r>
    </w:p>
    <w:p w14:paraId="1A10229C" w14:textId="77777777" w:rsidR="00E91012" w:rsidRDefault="00000000">
      <w:pPr>
        <w:spacing w:after="100"/>
      </w:pPr>
      <w:r>
        <w:t>3.1 Afspraken kunnen telefonisch, per e-mail of via de website worden gemaakt.</w:t>
      </w:r>
    </w:p>
    <w:p w14:paraId="780C6860" w14:textId="77777777" w:rsidR="00E91012" w:rsidRDefault="00000000">
      <w:pPr>
        <w:spacing w:after="100"/>
      </w:pPr>
      <w:r>
        <w:t xml:space="preserve">3.2 De cliënt wordt verzocht minimaal 24 uur van tevoren af te zeggen </w:t>
      </w:r>
      <w:proofErr w:type="gramStart"/>
      <w:r>
        <w:t>indien</w:t>
      </w:r>
      <w:proofErr w:type="gramEnd"/>
      <w:r>
        <w:t xml:space="preserve"> hij/zij verhinderd is. Bij annulering binnen 24 uur voor de afspraak behoudt de praktijk zich het recht voor om een afzegtarief van € 40,- in rekening te brengen.</w:t>
      </w:r>
    </w:p>
    <w:p w14:paraId="0F0D2370" w14:textId="77777777" w:rsidR="00E91012" w:rsidRDefault="00000000">
      <w:pPr>
        <w:spacing w:after="200"/>
      </w:pPr>
      <w:r>
        <w:t>3.3 Bij niet verschijnen zonder bericht (no-show) wordt het volledige tarief van de gereserveerde tijd in rekening gebracht.</w:t>
      </w:r>
    </w:p>
    <w:p w14:paraId="06153D35" w14:textId="77777777" w:rsidR="00E91012" w:rsidRDefault="00000000">
      <w:pPr>
        <w:spacing w:before="240" w:after="120"/>
      </w:pPr>
      <w:r>
        <w:rPr>
          <w:b/>
          <w:bCs/>
          <w:color w:val="2C5F8D"/>
          <w:sz w:val="26"/>
          <w:szCs w:val="26"/>
        </w:rPr>
        <w:t>Artikel 4 – Tarieven en betaling</w:t>
      </w:r>
    </w:p>
    <w:p w14:paraId="77D9D299" w14:textId="77777777" w:rsidR="00E91012" w:rsidRDefault="00000000">
      <w:pPr>
        <w:spacing w:after="100"/>
      </w:pPr>
      <w:r>
        <w:t>4.1 De geldende tarieven zijn: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026"/>
      </w:tblGrid>
      <w:tr w:rsidR="00E91012" w14:paraId="01AC9562"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shd w:val="clear" w:color="auto" w:fill="2C5F8D"/>
            <w:tcMar>
              <w:top w:w="150" w:type="dxa"/>
              <w:left w:w="200" w:type="dxa"/>
              <w:bottom w:w="150" w:type="dxa"/>
              <w:right w:w="200" w:type="dxa"/>
            </w:tcMar>
          </w:tcPr>
          <w:p w14:paraId="7A712832" w14:textId="77777777" w:rsidR="00E91012" w:rsidRDefault="00000000">
            <w:r>
              <w:rPr>
                <w:b/>
                <w:bCs/>
                <w:color w:val="FFFFFF"/>
              </w:rPr>
              <w:lastRenderedPageBreak/>
              <w:t>Behandelduur</w:t>
            </w:r>
          </w:p>
        </w:tc>
        <w:tc>
          <w:tcPr>
            <w:tcW w:w="3026" w:type="dxa"/>
            <w:tcBorders>
              <w:top w:val="single" w:sz="1" w:space="0" w:color="CCCCCC"/>
              <w:left w:val="single" w:sz="1" w:space="0" w:color="CCCCCC"/>
              <w:bottom w:val="single" w:sz="1" w:space="0" w:color="CCCCCC"/>
              <w:right w:val="single" w:sz="1" w:space="0" w:color="CCCCCC"/>
            </w:tcBorders>
            <w:shd w:val="clear" w:color="auto" w:fill="2C5F8D"/>
            <w:tcMar>
              <w:top w:w="150" w:type="dxa"/>
              <w:left w:w="200" w:type="dxa"/>
              <w:bottom w:w="150" w:type="dxa"/>
              <w:right w:w="200" w:type="dxa"/>
            </w:tcMar>
          </w:tcPr>
          <w:p w14:paraId="622006AA" w14:textId="77777777" w:rsidR="00E91012" w:rsidRDefault="00000000">
            <w:pPr>
              <w:jc w:val="right"/>
            </w:pPr>
            <w:r>
              <w:rPr>
                <w:b/>
                <w:bCs/>
                <w:color w:val="FFFFFF"/>
              </w:rPr>
              <w:t>Tarief</w:t>
            </w:r>
          </w:p>
        </w:tc>
      </w:tr>
      <w:tr w:rsidR="00E91012" w14:paraId="07991820"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150" w:type="dxa"/>
              <w:left w:w="200" w:type="dxa"/>
              <w:bottom w:w="150" w:type="dxa"/>
              <w:right w:w="200" w:type="dxa"/>
            </w:tcMar>
          </w:tcPr>
          <w:p w14:paraId="54EB7A1C" w14:textId="77777777" w:rsidR="00E91012" w:rsidRDefault="00000000">
            <w:r>
              <w:t>30 minuten</w:t>
            </w:r>
          </w:p>
        </w:tc>
        <w:tc>
          <w:tcPr>
            <w:tcW w:w="3026" w:type="dxa"/>
            <w:tcBorders>
              <w:top w:val="single" w:sz="1" w:space="0" w:color="CCCCCC"/>
              <w:left w:val="single" w:sz="1" w:space="0" w:color="CCCCCC"/>
              <w:bottom w:val="single" w:sz="1" w:space="0" w:color="CCCCCC"/>
              <w:right w:val="single" w:sz="1" w:space="0" w:color="CCCCCC"/>
            </w:tcBorders>
            <w:tcMar>
              <w:top w:w="150" w:type="dxa"/>
              <w:left w:w="200" w:type="dxa"/>
              <w:bottom w:w="150" w:type="dxa"/>
              <w:right w:w="200" w:type="dxa"/>
            </w:tcMar>
          </w:tcPr>
          <w:p w14:paraId="68B87623" w14:textId="77777777" w:rsidR="00E91012" w:rsidRDefault="00000000">
            <w:pPr>
              <w:jc w:val="right"/>
            </w:pPr>
            <w:r>
              <w:rPr>
                <w:b/>
                <w:bCs/>
              </w:rPr>
              <w:t>€ 52,00</w:t>
            </w:r>
          </w:p>
        </w:tc>
      </w:tr>
      <w:tr w:rsidR="00E91012" w14:paraId="215F5737"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shd w:val="clear" w:color="auto" w:fill="F8F8F8"/>
            <w:tcMar>
              <w:top w:w="150" w:type="dxa"/>
              <w:left w:w="200" w:type="dxa"/>
              <w:bottom w:w="150" w:type="dxa"/>
              <w:right w:w="200" w:type="dxa"/>
            </w:tcMar>
          </w:tcPr>
          <w:p w14:paraId="173F3D53" w14:textId="77777777" w:rsidR="00E91012" w:rsidRDefault="00000000">
            <w:r>
              <w:t>45 minuten</w:t>
            </w:r>
          </w:p>
        </w:tc>
        <w:tc>
          <w:tcPr>
            <w:tcW w:w="3026" w:type="dxa"/>
            <w:tcBorders>
              <w:top w:val="single" w:sz="1" w:space="0" w:color="CCCCCC"/>
              <w:left w:val="single" w:sz="1" w:space="0" w:color="CCCCCC"/>
              <w:bottom w:val="single" w:sz="1" w:space="0" w:color="CCCCCC"/>
              <w:right w:val="single" w:sz="1" w:space="0" w:color="CCCCCC"/>
            </w:tcBorders>
            <w:shd w:val="clear" w:color="auto" w:fill="F8F8F8"/>
            <w:tcMar>
              <w:top w:w="150" w:type="dxa"/>
              <w:left w:w="200" w:type="dxa"/>
              <w:bottom w:w="150" w:type="dxa"/>
              <w:right w:w="200" w:type="dxa"/>
            </w:tcMar>
          </w:tcPr>
          <w:p w14:paraId="70204761" w14:textId="77777777" w:rsidR="00E91012" w:rsidRDefault="00000000">
            <w:pPr>
              <w:jc w:val="right"/>
            </w:pPr>
            <w:r>
              <w:rPr>
                <w:b/>
                <w:bCs/>
              </w:rPr>
              <w:t>€ 75,00</w:t>
            </w:r>
          </w:p>
        </w:tc>
      </w:tr>
      <w:tr w:rsidR="00E91012" w14:paraId="562CC14F"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150" w:type="dxa"/>
              <w:left w:w="200" w:type="dxa"/>
              <w:bottom w:w="150" w:type="dxa"/>
              <w:right w:w="200" w:type="dxa"/>
            </w:tcMar>
          </w:tcPr>
          <w:p w14:paraId="61A19FF0" w14:textId="77777777" w:rsidR="00E91012" w:rsidRDefault="00000000">
            <w:r>
              <w:t>60 minuten</w:t>
            </w:r>
          </w:p>
        </w:tc>
        <w:tc>
          <w:tcPr>
            <w:tcW w:w="3026" w:type="dxa"/>
            <w:tcBorders>
              <w:top w:val="single" w:sz="1" w:space="0" w:color="CCCCCC"/>
              <w:left w:val="single" w:sz="1" w:space="0" w:color="CCCCCC"/>
              <w:bottom w:val="single" w:sz="1" w:space="0" w:color="CCCCCC"/>
              <w:right w:val="single" w:sz="1" w:space="0" w:color="CCCCCC"/>
            </w:tcBorders>
            <w:tcMar>
              <w:top w:w="150" w:type="dxa"/>
              <w:left w:w="200" w:type="dxa"/>
              <w:bottom w:w="150" w:type="dxa"/>
              <w:right w:w="200" w:type="dxa"/>
            </w:tcMar>
          </w:tcPr>
          <w:p w14:paraId="1081948E" w14:textId="77777777" w:rsidR="00E91012" w:rsidRDefault="00000000">
            <w:pPr>
              <w:jc w:val="right"/>
            </w:pPr>
            <w:r>
              <w:rPr>
                <w:b/>
                <w:bCs/>
              </w:rPr>
              <w:t>€ 104,00</w:t>
            </w:r>
          </w:p>
        </w:tc>
      </w:tr>
    </w:tbl>
    <w:p w14:paraId="0E00D69C" w14:textId="77777777" w:rsidR="00E91012" w:rsidRDefault="00E91012"/>
    <w:p w14:paraId="5135C928" w14:textId="77777777" w:rsidR="00E91012" w:rsidRDefault="00000000">
      <w:pPr>
        <w:spacing w:after="100"/>
      </w:pPr>
      <w:r>
        <w:t xml:space="preserve">4.2 Energetische therapieën zijn vrijgesteld van BTW </w:t>
      </w:r>
      <w:proofErr w:type="gramStart"/>
      <w:r>
        <w:t>conform</w:t>
      </w:r>
      <w:proofErr w:type="gramEnd"/>
      <w:r>
        <w:t xml:space="preserve"> artikel 11, lid 1, onder g van de Wet op de omzetbelasting 1968.</w:t>
      </w:r>
    </w:p>
    <w:p w14:paraId="1772DD00" w14:textId="77777777" w:rsidR="00E91012" w:rsidRDefault="00000000">
      <w:pPr>
        <w:spacing w:after="100"/>
      </w:pPr>
      <w:r>
        <w:t>4.3 Betaling dient direct na de behandeling te geschieden, tenzij schriftelijk andere betalingsafspraken zijn gemaakt. Betaling kan contant of per pin.</w:t>
      </w:r>
    </w:p>
    <w:p w14:paraId="2C94F7D5" w14:textId="77777777" w:rsidR="00E91012" w:rsidRDefault="00000000">
      <w:pPr>
        <w:spacing w:after="100"/>
      </w:pPr>
      <w:r>
        <w:t>4.4 Bij facturering dient betaling binnen 14 dagen na factuurdatum te geschieden.</w:t>
      </w:r>
    </w:p>
    <w:p w14:paraId="69F46E02" w14:textId="77777777" w:rsidR="00E91012" w:rsidRDefault="00000000">
      <w:pPr>
        <w:spacing w:after="200"/>
      </w:pPr>
      <w:r>
        <w:t>4.5 Bij niet tijdige betaling behoudt de praktijk zich het recht voor om incassomaatregelen te treffen. De daaruit voortvloeiende kosten komen voor rekening van de cliënt.</w:t>
      </w:r>
    </w:p>
    <w:p w14:paraId="612D3571" w14:textId="77777777" w:rsidR="00E91012" w:rsidRDefault="00000000">
      <w:pPr>
        <w:spacing w:before="240" w:after="120"/>
      </w:pPr>
      <w:r>
        <w:rPr>
          <w:b/>
          <w:bCs/>
          <w:color w:val="2C5F8D"/>
          <w:sz w:val="26"/>
          <w:szCs w:val="26"/>
        </w:rPr>
        <w:t>Artikel 5 – Zorgverzekering</w:t>
      </w:r>
    </w:p>
    <w:p w14:paraId="1E680D6A" w14:textId="77777777" w:rsidR="00E91012" w:rsidRDefault="00000000">
      <w:pPr>
        <w:spacing w:after="100"/>
      </w:pPr>
      <w:r>
        <w:t>5.1 De praktijk is aangesloten bij het VVET (Verbond van Energetische Therapeuten) en de VBAG. Hierdoor kunnen behandelingen (gedeeltelijk) vergoed worden vanuit de aanvullende zorgverzekering.</w:t>
      </w:r>
    </w:p>
    <w:p w14:paraId="18D75B6D" w14:textId="77777777" w:rsidR="00E91012" w:rsidRDefault="00000000">
      <w:pPr>
        <w:spacing w:after="100"/>
      </w:pPr>
      <w:r>
        <w:t>5.2 De hoogte van de vergoeding is afhankelijk van de polisvoorwaarden van de zorgverzekeraar. Het is de verantwoordelijkheid van de cliënt om zich hierover te informeren bij zijn/haar zorgverzekeraar.</w:t>
      </w:r>
    </w:p>
    <w:p w14:paraId="18DB15C1" w14:textId="77777777" w:rsidR="00E91012" w:rsidRDefault="00000000">
      <w:pPr>
        <w:spacing w:after="200"/>
      </w:pPr>
      <w:r>
        <w:t>5.3 Behandelingen gaan niet ten koste van het eigen risico.</w:t>
      </w:r>
    </w:p>
    <w:p w14:paraId="27DE4696" w14:textId="77777777" w:rsidR="00E91012" w:rsidRDefault="00000000">
      <w:pPr>
        <w:spacing w:before="240" w:after="120"/>
      </w:pPr>
      <w:r>
        <w:rPr>
          <w:b/>
          <w:bCs/>
          <w:color w:val="2C5F8D"/>
          <w:sz w:val="26"/>
          <w:szCs w:val="26"/>
        </w:rPr>
        <w:t>Artikel 6 – Dossier en geheimhouding</w:t>
      </w:r>
    </w:p>
    <w:p w14:paraId="1546A82F" w14:textId="77777777" w:rsidR="00E91012" w:rsidRDefault="00000000">
      <w:pPr>
        <w:spacing w:after="100"/>
      </w:pPr>
      <w:r>
        <w:t xml:space="preserve">6.1 De behandelaar legt </w:t>
      </w:r>
      <w:proofErr w:type="gramStart"/>
      <w:r>
        <w:t>conform</w:t>
      </w:r>
      <w:proofErr w:type="gramEnd"/>
      <w:r>
        <w:t xml:space="preserve"> de WGBO een cliëntendossier aan waarin relevante gegevens over de behandeling worden vastgelegd.</w:t>
      </w:r>
    </w:p>
    <w:p w14:paraId="52AED5AF" w14:textId="77777777" w:rsidR="00E91012" w:rsidRDefault="00000000">
      <w:pPr>
        <w:spacing w:after="100"/>
      </w:pPr>
      <w:r>
        <w:t>6.2 De behandelaar heeft een wettelijke geheimhoudingsplicht (beroepsgeheim) ten aanzien van alle aan hem/haar toevertrouwde informatie.</w:t>
      </w:r>
    </w:p>
    <w:p w14:paraId="184886C6" w14:textId="77777777" w:rsidR="00E91012" w:rsidRDefault="00000000">
      <w:pPr>
        <w:spacing w:after="100"/>
      </w:pPr>
      <w:r>
        <w:t xml:space="preserve">6.3 Het dossier wordt 20 jaar bewaard </w:t>
      </w:r>
      <w:proofErr w:type="gramStart"/>
      <w:r>
        <w:t>conform</w:t>
      </w:r>
      <w:proofErr w:type="gramEnd"/>
      <w:r>
        <w:t xml:space="preserve"> de wettelijke bewaartermijn.</w:t>
      </w:r>
    </w:p>
    <w:p w14:paraId="3167187F" w14:textId="77777777" w:rsidR="00E91012" w:rsidRDefault="00000000">
      <w:pPr>
        <w:spacing w:after="200"/>
      </w:pPr>
      <w:r>
        <w:t>6.4 De cliënt heeft recht op inzage, correctie en aanvulling van zijn/haar dossier.</w:t>
      </w:r>
    </w:p>
    <w:p w14:paraId="5B238D50" w14:textId="77777777" w:rsidR="00E91012" w:rsidRDefault="00000000">
      <w:pPr>
        <w:spacing w:before="240" w:after="120"/>
      </w:pPr>
      <w:r>
        <w:rPr>
          <w:b/>
          <w:bCs/>
          <w:color w:val="2C5F8D"/>
          <w:sz w:val="26"/>
          <w:szCs w:val="26"/>
        </w:rPr>
        <w:t>Artikel 7 – Aansprakelijkheid</w:t>
      </w:r>
    </w:p>
    <w:p w14:paraId="7DF11358" w14:textId="77777777" w:rsidR="00E91012" w:rsidRDefault="00000000">
      <w:pPr>
        <w:spacing w:after="100"/>
      </w:pPr>
      <w:r>
        <w:t>7.1 De praktijk is aangesloten bij een collectieve beroepsaansprakelijkheidsverzekering.</w:t>
      </w:r>
    </w:p>
    <w:p w14:paraId="24801CA5" w14:textId="77777777" w:rsidR="00E91012" w:rsidRDefault="00000000">
      <w:pPr>
        <w:spacing w:after="100"/>
      </w:pPr>
      <w:r>
        <w:t>7.2 De aansprakelijkheid van de behandelaar is beperkt tot het bedrag dat in voorkomend geval wordt uitgekeerd door de verzekeraar, vermeerderd met het eigen risico.</w:t>
      </w:r>
    </w:p>
    <w:p w14:paraId="61D79B37" w14:textId="77777777" w:rsidR="00E91012" w:rsidRDefault="00000000">
      <w:pPr>
        <w:spacing w:after="200"/>
      </w:pPr>
      <w:r>
        <w:t>7.3 De praktijk is niet aansprakelijk voor nadelige gevolgen die voortvloeien uit het door de cliënt achterhouden van relevante medische informatie.</w:t>
      </w:r>
    </w:p>
    <w:p w14:paraId="276A6C71" w14:textId="77777777" w:rsidR="00E91012" w:rsidRDefault="00000000">
      <w:pPr>
        <w:spacing w:before="240" w:after="120"/>
      </w:pPr>
      <w:r>
        <w:rPr>
          <w:b/>
          <w:bCs/>
          <w:color w:val="2C5F8D"/>
          <w:sz w:val="26"/>
          <w:szCs w:val="26"/>
        </w:rPr>
        <w:t>Artikel 8 – Klachten</w:t>
      </w:r>
    </w:p>
    <w:p w14:paraId="38CEEE43" w14:textId="77777777" w:rsidR="00E91012" w:rsidRDefault="00000000">
      <w:pPr>
        <w:spacing w:after="100"/>
      </w:pPr>
      <w:r>
        <w:t>8.1 Bij een klacht wordt de cliënt verzocht dit eerst met de behandelaar te bespreken.</w:t>
      </w:r>
    </w:p>
    <w:p w14:paraId="7597578E" w14:textId="77777777" w:rsidR="00E91012" w:rsidRDefault="00000000">
      <w:pPr>
        <w:spacing w:after="100"/>
      </w:pPr>
      <w:r>
        <w:t>8.2 Komt men er onderling niet uit, dan kan kosteloos een onafhankelijke klachtenfunctionaris worden ingeschakeld via de VBAG (www.vbag.nl/consument/klachten-en-geschillen).</w:t>
      </w:r>
    </w:p>
    <w:p w14:paraId="4A06CCE9" w14:textId="77777777" w:rsidR="00E91012" w:rsidRDefault="00000000">
      <w:pPr>
        <w:spacing w:after="200"/>
      </w:pPr>
      <w:r>
        <w:lastRenderedPageBreak/>
        <w:t>8.3 Voor geschillen kan men terecht bij de geschillencommissie Zorggeschil (www.zorggeschil.nl).</w:t>
      </w:r>
    </w:p>
    <w:p w14:paraId="01EFD6E6" w14:textId="77777777" w:rsidR="00E91012" w:rsidRDefault="00000000">
      <w:pPr>
        <w:spacing w:before="240" w:after="120"/>
      </w:pPr>
      <w:r>
        <w:rPr>
          <w:b/>
          <w:bCs/>
          <w:color w:val="2C5F8D"/>
          <w:sz w:val="26"/>
          <w:szCs w:val="26"/>
        </w:rPr>
        <w:t>Artikel 9 – Minderjarigen</w:t>
      </w:r>
    </w:p>
    <w:p w14:paraId="6913D745" w14:textId="77777777" w:rsidR="00E91012" w:rsidRDefault="00000000">
      <w:pPr>
        <w:spacing w:after="100"/>
      </w:pPr>
      <w:r>
        <w:t>9.1 Voor behandeling van minderjarigen tot 16 jaar is toestemming vereist van beide ouders met het gezag, tenzij één ouder alleen het gezag heeft.</w:t>
      </w:r>
    </w:p>
    <w:p w14:paraId="3936683B" w14:textId="77777777" w:rsidR="00E91012" w:rsidRDefault="00000000">
      <w:pPr>
        <w:spacing w:after="200"/>
      </w:pPr>
      <w:r>
        <w:t>9.2 Bij behandeling van minderjarigen kan de behandelaar verzoeken dat een ouder/verzorger aanwezig is tijdens de behandeling.</w:t>
      </w:r>
    </w:p>
    <w:p w14:paraId="77497B11" w14:textId="77777777" w:rsidR="00E91012" w:rsidRDefault="00000000">
      <w:pPr>
        <w:spacing w:before="240" w:after="120"/>
      </w:pPr>
      <w:r>
        <w:rPr>
          <w:b/>
          <w:bCs/>
          <w:color w:val="2C5F8D"/>
          <w:sz w:val="26"/>
          <w:szCs w:val="26"/>
        </w:rPr>
        <w:t>Artikel 10 – Wijzigingen</w:t>
      </w:r>
    </w:p>
    <w:p w14:paraId="590340FF" w14:textId="77777777" w:rsidR="00E91012" w:rsidRDefault="00000000">
      <w:pPr>
        <w:spacing w:after="200"/>
      </w:pPr>
      <w:r>
        <w:t>De praktijk behoudt zich het recht voor deze algemene voorwaarden te wijzigen. Wijzigingen worden via de website bekendgemaakt en zijn van toepassing op alle na de wijzigingsdatum gemaakte afspraken.</w:t>
      </w:r>
    </w:p>
    <w:p w14:paraId="6CE16035" w14:textId="77777777" w:rsidR="00E91012" w:rsidRDefault="00000000">
      <w:pPr>
        <w:spacing w:before="240" w:after="120"/>
      </w:pPr>
      <w:r>
        <w:rPr>
          <w:b/>
          <w:bCs/>
          <w:color w:val="2C5F8D"/>
          <w:sz w:val="26"/>
          <w:szCs w:val="26"/>
        </w:rPr>
        <w:t>Artikel 11 – Toepasselijk recht</w:t>
      </w:r>
    </w:p>
    <w:p w14:paraId="1D34CED6" w14:textId="77777777" w:rsidR="00E91012" w:rsidRDefault="00000000">
      <w:pPr>
        <w:spacing w:after="300"/>
      </w:pPr>
      <w:r>
        <w:t>Op deze algemene voorwaarden is het Nederlands recht van toepassing.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91012" w14:paraId="57D8C3CA" w14:textId="77777777">
        <w:tblPrEx>
          <w:tblCellMar>
            <w:top w:w="0" w:type="dxa"/>
            <w:bottom w:w="0" w:type="dxa"/>
          </w:tblCellMar>
        </w:tblPrEx>
        <w:tc>
          <w:tcPr>
            <w:tcW w:w="9026" w:type="dxa"/>
            <w:tcBorders>
              <w:left w:val="single" w:sz="3" w:space="0" w:color="2C5F8D"/>
            </w:tcBorders>
            <w:shd w:val="clear" w:color="auto" w:fill="F5F5F5"/>
            <w:tcMar>
              <w:top w:w="250" w:type="dxa"/>
              <w:left w:w="300" w:type="dxa"/>
              <w:bottom w:w="250" w:type="dxa"/>
              <w:right w:w="300" w:type="dxa"/>
            </w:tcMar>
          </w:tcPr>
          <w:p w14:paraId="3E9AE890" w14:textId="77777777" w:rsidR="00E91012" w:rsidRDefault="00000000">
            <w:pPr>
              <w:jc w:val="center"/>
            </w:pPr>
            <w:r>
              <w:rPr>
                <w:i/>
                <w:iCs/>
                <w:color w:val="666666"/>
                <w:sz w:val="20"/>
                <w:szCs w:val="20"/>
              </w:rPr>
              <w:t>Versie: februari 2025</w:t>
            </w:r>
          </w:p>
        </w:tc>
      </w:tr>
    </w:tbl>
    <w:p w14:paraId="31DBF04E" w14:textId="77777777" w:rsidR="008E6BEF" w:rsidRDefault="008E6BEF"/>
    <w:sectPr w:rsidR="008E6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00DE2"/>
    <w:multiLevelType w:val="hybridMultilevel"/>
    <w:tmpl w:val="8F46D3E6"/>
    <w:lvl w:ilvl="0" w:tplc="D0C6EC12">
      <w:start w:val="1"/>
      <w:numFmt w:val="bullet"/>
      <w:lvlText w:val="●"/>
      <w:lvlJc w:val="left"/>
      <w:pPr>
        <w:ind w:left="720" w:hanging="360"/>
      </w:pPr>
    </w:lvl>
    <w:lvl w:ilvl="1" w:tplc="295AA968">
      <w:start w:val="1"/>
      <w:numFmt w:val="bullet"/>
      <w:lvlText w:val="○"/>
      <w:lvlJc w:val="left"/>
      <w:pPr>
        <w:ind w:left="1440" w:hanging="360"/>
      </w:pPr>
    </w:lvl>
    <w:lvl w:ilvl="2" w:tplc="8F96F720">
      <w:start w:val="1"/>
      <w:numFmt w:val="bullet"/>
      <w:lvlText w:val="■"/>
      <w:lvlJc w:val="left"/>
      <w:pPr>
        <w:ind w:left="2160" w:hanging="360"/>
      </w:pPr>
    </w:lvl>
    <w:lvl w:ilvl="3" w:tplc="4A260A50">
      <w:start w:val="1"/>
      <w:numFmt w:val="bullet"/>
      <w:lvlText w:val="●"/>
      <w:lvlJc w:val="left"/>
      <w:pPr>
        <w:ind w:left="2880" w:hanging="360"/>
      </w:pPr>
    </w:lvl>
    <w:lvl w:ilvl="4" w:tplc="0108C796">
      <w:start w:val="1"/>
      <w:numFmt w:val="bullet"/>
      <w:lvlText w:val="○"/>
      <w:lvlJc w:val="left"/>
      <w:pPr>
        <w:ind w:left="3600" w:hanging="360"/>
      </w:pPr>
    </w:lvl>
    <w:lvl w:ilvl="5" w:tplc="5A9C9B30">
      <w:start w:val="1"/>
      <w:numFmt w:val="bullet"/>
      <w:lvlText w:val="■"/>
      <w:lvlJc w:val="left"/>
      <w:pPr>
        <w:ind w:left="4320" w:hanging="360"/>
      </w:pPr>
    </w:lvl>
    <w:lvl w:ilvl="6" w:tplc="0CBC0CF8">
      <w:start w:val="1"/>
      <w:numFmt w:val="bullet"/>
      <w:lvlText w:val="●"/>
      <w:lvlJc w:val="left"/>
      <w:pPr>
        <w:ind w:left="5040" w:hanging="360"/>
      </w:pPr>
    </w:lvl>
    <w:lvl w:ilvl="7" w:tplc="043CBD8E">
      <w:start w:val="1"/>
      <w:numFmt w:val="bullet"/>
      <w:lvlText w:val="●"/>
      <w:lvlJc w:val="left"/>
      <w:pPr>
        <w:ind w:left="5760" w:hanging="360"/>
      </w:pPr>
    </w:lvl>
    <w:lvl w:ilvl="8" w:tplc="97AC2352">
      <w:start w:val="1"/>
      <w:numFmt w:val="bullet"/>
      <w:lvlText w:val="●"/>
      <w:lvlJc w:val="left"/>
      <w:pPr>
        <w:ind w:left="6480" w:hanging="360"/>
      </w:pPr>
    </w:lvl>
  </w:abstractNum>
  <w:num w:numId="1" w16cid:durableId="861013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12"/>
    <w:rsid w:val="006D2FB6"/>
    <w:rsid w:val="008E6BEF"/>
    <w:rsid w:val="00E91012"/>
    <w:rsid w:val="00EF4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F6CC16"/>
  <w15:docId w15:val="{799E0404-8031-2044-9DE4-A86A73A6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3845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Cor Veerman</cp:lastModifiedBy>
  <cp:revision>2</cp:revision>
  <dcterms:created xsi:type="dcterms:W3CDTF">2026-02-07T08:35:00Z</dcterms:created>
  <dcterms:modified xsi:type="dcterms:W3CDTF">2026-02-07T08:36:00Z</dcterms:modified>
</cp:coreProperties>
</file>